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2"/>
        <w:gridCol w:w="4045"/>
      </w:tblGrid>
      <w:tr w:rsidR="00E435BF" w:rsidRPr="00E435BF" w:rsidTr="00E435BF">
        <w:trPr>
          <w:tblCellSpacing w:w="0" w:type="dxa"/>
        </w:trPr>
        <w:tc>
          <w:tcPr>
            <w:tcW w:w="363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435BF"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  <w:t>Уважаемые родители!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F19F8" wp14:editId="7264061F">
                  <wp:extent cx="4267200" cy="3200400"/>
                  <wp:effectExtent l="0" t="0" r="0" b="0"/>
                  <wp:docPr id="2" name="Рисунок 2" descr="http://sad-23.ucoz.ru/gif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-23.ucoz.ru/gif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 xml:space="preserve">Экстремизм - </w:t>
            </w: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приверженность к крайним взглядам и действиям, радикально отрицающим существующие в обществе нормы и правила.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color w:val="0000CD"/>
                <w:sz w:val="24"/>
                <w:szCs w:val="24"/>
                <w:lang w:eastAsia="ru-RU"/>
              </w:rPr>
              <w:t xml:space="preserve">Базовой основой экстремизма является </w:t>
            </w: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агрессивность, наполненная каким-либо идейным содержанием (смыслом).</w:t>
            </w:r>
          </w:p>
          <w:p w:rsid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Одной из форм проявления экстремизма является распространение фашистской и неонацистской символики: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специфическая символика (свастика, символы фашистской Германии, изображение фашистского приветствия (приветствие римских легионеров) и т.п.;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специфические наименования, термины, обозначения и словосочетания («фашист», «нацист», «скинхед» и т.п.);</w:t>
            </w:r>
            <w:proofErr w:type="gramEnd"/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специфические унизительные или ругательные наименования и определения представителей какой-либо национальности («чернокожий», «азер» и т.п.);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специфический сленг или лексикон, распространенный в среде экстремистских формирований («русофоб», «ZOG» и т.п.);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специфические имена и клички известных и авторитетных лиц в конкретных радикальных движениях («Лимонов», «Тесак» и т.п.);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использование специфических кличек при написании </w:t>
            </w:r>
            <w:proofErr w:type="gram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интернет-материалов</w:t>
            </w:r>
            <w:proofErr w:type="gram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(«Фюрер», «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White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warrior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«Геринг» и т.п.);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именные наименования существующих экстремистских группировок («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Сварожичи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«Русский кулак» и т.п.).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Поэтому одним из важнейших направлений профилактической работы является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националистические группировки вовлекаются подростки всё более раннего возраста. </w:t>
            </w:r>
            <w:proofErr w:type="gram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      </w:r>
            <w:proofErr w:type="gram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угроз.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лодёжь по признаку субкультуры. </w:t>
            </w:r>
            <w:proofErr w:type="gram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Существующие неформальные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подростково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молодёжные объединения можно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типологизировать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на: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гедонистско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-развлекательные («наслаждение и развлечение»);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спортивносоревновательные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эскапистские («уход от мира»);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мистагогические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(«вводящие в тайну», связанные с духовными поисками);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коммерциализованные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лидерско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-менеджерские;</w:t>
            </w:r>
            <w:proofErr w:type="gram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криминальноориентированные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</w:t>
            </w: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родителями в связи с их постоянной занятостью.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Прелесть современного мира именно в многообразии, </w:t>
            </w:r>
            <w:proofErr w:type="spellStart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разногранности</w:t>
            </w:r>
            <w:proofErr w:type="spellEnd"/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 все это могут понять и принять.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Безусловно, сейчас значимой задачей общества стало объединение различных индивидов в общее и понимающее друг друга человечество.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      </w:r>
          </w:p>
          <w:p w:rsidR="00E435BF" w:rsidRPr="00E435BF" w:rsidRDefault="00E435BF" w:rsidP="004604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Будущее мира за новыми поколениями. Так давайте сделаем, чтоб этот мир был полон тепла и любви. Это отчасти в наших руках! В руках каждого!</w:t>
            </w:r>
          </w:p>
        </w:tc>
        <w:tc>
          <w:tcPr>
            <w:tcW w:w="1364" w:type="pct"/>
            <w:vAlign w:val="center"/>
            <w:hideMark/>
          </w:tcPr>
          <w:p w:rsidR="00E435BF" w:rsidRPr="00E435BF" w:rsidRDefault="00E435BF" w:rsidP="00E4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5BF" w:rsidRPr="00E435BF" w:rsidTr="00E435BF">
        <w:trPr>
          <w:trHeight w:val="120"/>
          <w:tblCellSpacing w:w="0" w:type="dxa"/>
        </w:trPr>
        <w:tc>
          <w:tcPr>
            <w:tcW w:w="3636" w:type="pct"/>
            <w:vAlign w:val="center"/>
            <w:hideMark/>
          </w:tcPr>
          <w:p w:rsidR="00E435BF" w:rsidRPr="00E435BF" w:rsidRDefault="00E435BF" w:rsidP="00E435B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5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239636A" wp14:editId="2EA7B24D">
                  <wp:extent cx="76200" cy="76200"/>
                  <wp:effectExtent l="0" t="0" r="0" b="0"/>
                  <wp:docPr id="1" name="Рисунок 1" descr="http://sad-23.ucoz.ru/.s/t/661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d-23.ucoz.ru/.s/t/661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pct"/>
            <w:vAlign w:val="center"/>
            <w:hideMark/>
          </w:tcPr>
          <w:p w:rsidR="00E435BF" w:rsidRPr="00E435BF" w:rsidRDefault="00E435BF" w:rsidP="00E4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4A5" w:rsidRPr="00E435BF" w:rsidRDefault="002334A5" w:rsidP="00E435BF">
      <w:pPr>
        <w:rPr>
          <w:sz w:val="24"/>
          <w:szCs w:val="24"/>
        </w:rPr>
      </w:pPr>
    </w:p>
    <w:sectPr w:rsidR="002334A5" w:rsidRPr="00E435BF" w:rsidSect="00E435BF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7A6"/>
    <w:multiLevelType w:val="hybridMultilevel"/>
    <w:tmpl w:val="F67A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06CAD"/>
    <w:multiLevelType w:val="hybridMultilevel"/>
    <w:tmpl w:val="F74E07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1B0D90"/>
    <w:multiLevelType w:val="hybridMultilevel"/>
    <w:tmpl w:val="1E4CC666"/>
    <w:lvl w:ilvl="0" w:tplc="49A818EA">
      <w:start w:val="1"/>
      <w:numFmt w:val="decimal"/>
      <w:lvlText w:val="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4"/>
    <w:rsid w:val="00022609"/>
    <w:rsid w:val="002334A5"/>
    <w:rsid w:val="0046040A"/>
    <w:rsid w:val="00BF6174"/>
    <w:rsid w:val="00D04F6E"/>
    <w:rsid w:val="00D1322A"/>
    <w:rsid w:val="00E435BF"/>
    <w:rsid w:val="00EF6FCB"/>
    <w:rsid w:val="00F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table" w:styleId="a4">
    <w:name w:val="Table Grid"/>
    <w:basedOn w:val="a1"/>
    <w:uiPriority w:val="59"/>
    <w:rsid w:val="002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table" w:styleId="a4">
    <w:name w:val="Table Grid"/>
    <w:basedOn w:val="a1"/>
    <w:uiPriority w:val="59"/>
    <w:rsid w:val="0023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2015-12-09T09:17:00Z</cp:lastPrinted>
  <dcterms:created xsi:type="dcterms:W3CDTF">2016-12-13T06:18:00Z</dcterms:created>
  <dcterms:modified xsi:type="dcterms:W3CDTF">2016-12-13T06:18:00Z</dcterms:modified>
</cp:coreProperties>
</file>